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4D32DD" w14:paraId="1BFAE59D" w14:textId="65842E57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60E1EE1A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7924AB">
              <w:rPr>
                <w:sz w:val="20"/>
                <w:szCs w:val="20"/>
              </w:rPr>
              <w:t>: IR-04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7924AB" w:rsidTr="422A4C1A" w14:paraId="621F6F9E" w14:textId="77777777">
        <w:tc>
          <w:tcPr>
            <w:tcW w:w="2425" w:type="dxa"/>
          </w:tcPr>
          <w:p w:rsidRPr="007629C9" w:rsidR="007924AB" w:rsidP="007924AB" w:rsidRDefault="007924AB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7924AB" w:rsidP="007924AB" w:rsidRDefault="007924AB" w14:paraId="5F642360" w14:textId="77777777">
            <w:pPr>
              <w:rPr>
                <w:sz w:val="20"/>
                <w:szCs w:val="20"/>
              </w:rPr>
            </w:pPr>
          </w:p>
          <w:p w:rsidRPr="00F87D95" w:rsidR="007924AB" w:rsidP="007924AB" w:rsidRDefault="007924AB" w14:paraId="08A6683B" w14:textId="1A172312">
            <w:pPr>
              <w:rPr>
                <w:sz w:val="20"/>
                <w:szCs w:val="20"/>
              </w:rPr>
            </w:pPr>
            <w:r w:rsidRPr="007924AB">
              <w:rPr>
                <w:sz w:val="20"/>
                <w:szCs w:val="20"/>
              </w:rPr>
              <w:t xml:space="preserve">a. Implement an incident handling </w:t>
            </w:r>
            <w:proofErr w:type="gramStart"/>
            <w:r w:rsidRPr="007924AB">
              <w:rPr>
                <w:sz w:val="20"/>
                <w:szCs w:val="20"/>
              </w:rPr>
              <w:t>capability for incidents</w:t>
            </w:r>
            <w:proofErr w:type="gramEnd"/>
            <w:r w:rsidRPr="007924AB">
              <w:rPr>
                <w:sz w:val="20"/>
                <w:szCs w:val="20"/>
              </w:rPr>
              <w:t xml:space="preserve"> that is consistent with the incident response plan and includes preparation, detection and analysis, containment, eradication, and recovery;</w:t>
            </w:r>
          </w:p>
        </w:tc>
        <w:tc>
          <w:tcPr>
            <w:tcW w:w="6925" w:type="dxa"/>
          </w:tcPr>
          <w:p w:rsidR="007924AB" w:rsidP="007924AB" w:rsidRDefault="007924AB" w14:paraId="77A19564" w14:textId="77777777"/>
          <w:p w:rsidR="007924AB" w:rsidP="007924AB" w:rsidRDefault="007924AB" w14:paraId="72F9542E" w14:textId="0CED23E7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7924AB" w:rsidTr="422A4C1A" w14:paraId="1CAC2F2D" w14:textId="77777777">
        <w:tc>
          <w:tcPr>
            <w:tcW w:w="2425" w:type="dxa"/>
          </w:tcPr>
          <w:p w:rsidRPr="007629C9" w:rsidR="007924AB" w:rsidP="007924AB" w:rsidRDefault="007924AB" w14:paraId="254FB07F" w14:textId="0650EB0E">
            <w:pPr>
              <w:rPr>
                <w:sz w:val="20"/>
                <w:szCs w:val="20"/>
              </w:rPr>
            </w:pPr>
            <w:r w:rsidRPr="007924AB">
              <w:rPr>
                <w:sz w:val="20"/>
                <w:szCs w:val="20"/>
              </w:rPr>
              <w:t>b. Coordinate incident handling activities with contingency planning activities;</w:t>
            </w:r>
          </w:p>
        </w:tc>
        <w:tc>
          <w:tcPr>
            <w:tcW w:w="6925" w:type="dxa"/>
          </w:tcPr>
          <w:p w:rsidR="007924AB" w:rsidP="007924AB" w:rsidRDefault="007924AB" w14:paraId="7D32B08E" w14:textId="77777777"/>
        </w:tc>
      </w:tr>
      <w:tr w:rsidR="007924AB" w:rsidTr="422A4C1A" w14:paraId="603D68D1" w14:textId="77777777">
        <w:tc>
          <w:tcPr>
            <w:tcW w:w="2425" w:type="dxa"/>
          </w:tcPr>
          <w:p w:rsidRPr="007924AB" w:rsidR="007924AB" w:rsidP="007924AB" w:rsidRDefault="007924AB" w14:paraId="111FE4C6" w14:textId="0219EEFC">
            <w:pPr>
              <w:rPr>
                <w:sz w:val="20"/>
                <w:szCs w:val="20"/>
              </w:rPr>
            </w:pPr>
            <w:r w:rsidRPr="007924AB">
              <w:rPr>
                <w:sz w:val="20"/>
                <w:szCs w:val="20"/>
              </w:rPr>
              <w:t xml:space="preserve">c. Incorporate lessons learned from ongoing incident handling activities into incident response procedures, training, and testing, and </w:t>
            </w:r>
            <w:proofErr w:type="gramStart"/>
            <w:r w:rsidRPr="007924AB">
              <w:rPr>
                <w:sz w:val="20"/>
                <w:szCs w:val="20"/>
              </w:rPr>
              <w:t>implement</w:t>
            </w:r>
            <w:proofErr w:type="gramEnd"/>
            <w:r w:rsidRPr="007924AB">
              <w:rPr>
                <w:sz w:val="20"/>
                <w:szCs w:val="20"/>
              </w:rPr>
              <w:t xml:space="preserve"> the resulting </w:t>
            </w:r>
            <w:proofErr w:type="gramStart"/>
            <w:r w:rsidRPr="007924AB">
              <w:rPr>
                <w:sz w:val="20"/>
                <w:szCs w:val="20"/>
              </w:rPr>
              <w:t>changes accordingly;</w:t>
            </w:r>
            <w:proofErr w:type="gramEnd"/>
            <w:r w:rsidRPr="007924AB">
              <w:rPr>
                <w:sz w:val="20"/>
                <w:szCs w:val="20"/>
              </w:rPr>
              <w:t xml:space="preserve"> and</w:t>
            </w:r>
          </w:p>
        </w:tc>
        <w:tc>
          <w:tcPr>
            <w:tcW w:w="6925" w:type="dxa"/>
          </w:tcPr>
          <w:p w:rsidR="007924AB" w:rsidP="007924AB" w:rsidRDefault="007924AB" w14:paraId="0F984936" w14:textId="77777777"/>
        </w:tc>
      </w:tr>
      <w:tr w:rsidR="007924AB" w:rsidTr="422A4C1A" w14:paraId="16B7993D" w14:textId="77777777">
        <w:tc>
          <w:tcPr>
            <w:tcW w:w="2425" w:type="dxa"/>
          </w:tcPr>
          <w:p w:rsidRPr="007924AB" w:rsidR="007924AB" w:rsidP="007924AB" w:rsidRDefault="007924AB" w14:paraId="481B2490" w14:textId="69373DCB">
            <w:pPr>
              <w:rPr>
                <w:sz w:val="20"/>
                <w:szCs w:val="20"/>
              </w:rPr>
            </w:pPr>
            <w:r w:rsidRPr="007924AB">
              <w:rPr>
                <w:sz w:val="20"/>
                <w:szCs w:val="20"/>
              </w:rPr>
              <w:t>d. Ensure the rigor, intensity, scope, and results of incident handling activities are comparable and predictable across the organization.</w:t>
            </w:r>
          </w:p>
        </w:tc>
        <w:tc>
          <w:tcPr>
            <w:tcW w:w="6925" w:type="dxa"/>
          </w:tcPr>
          <w:p w:rsidR="007924AB" w:rsidP="007924AB" w:rsidRDefault="007924AB" w14:paraId="5456884B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729D8" w:rsidP="0085581F" w:rsidRDefault="009729D8" w14:paraId="734EF0B0" w14:textId="77777777">
      <w:pPr>
        <w:spacing w:after="0" w:line="240" w:lineRule="auto"/>
      </w:pPr>
      <w:r>
        <w:separator/>
      </w:r>
    </w:p>
  </w:endnote>
  <w:endnote w:type="continuationSeparator" w:id="0">
    <w:p w:rsidR="009729D8" w:rsidP="0085581F" w:rsidRDefault="009729D8" w14:paraId="2D7A8CE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729D8" w:rsidP="0085581F" w:rsidRDefault="009729D8" w14:paraId="73FCA92C" w14:textId="77777777">
      <w:pPr>
        <w:spacing w:after="0" w:line="240" w:lineRule="auto"/>
      </w:pPr>
      <w:r>
        <w:separator/>
      </w:r>
    </w:p>
  </w:footnote>
  <w:footnote w:type="continuationSeparator" w:id="0">
    <w:p w:rsidR="009729D8" w:rsidP="0085581F" w:rsidRDefault="009729D8" w14:paraId="06A67D2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2F9BA218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750B79C2" w:rsidR="750B79C2">
      <w:rPr>
        <w:rFonts w:ascii="Bahnschrift" w:hAnsi="Bahnschrift"/>
        <w:color w:val="auto"/>
        <w:sz w:val="40"/>
        <w:szCs w:val="40"/>
      </w:rPr>
      <w:t xml:space="preserve"> </w:t>
    </w:r>
    <w:r w:rsidRPr="750B79C2" w:rsidR="750B79C2">
      <w:rPr>
        <w:rFonts w:ascii="Bahnschrift" w:hAnsi="Bahnschrift"/>
        <w:color w:val="auto"/>
        <w:sz w:val="40"/>
        <w:szCs w:val="40"/>
      </w:rPr>
      <w:t>GovRAMP</w:t>
    </w:r>
    <w:r w:rsidRPr="750B79C2" w:rsidR="750B79C2">
      <w:rPr>
        <w:rFonts w:ascii="Bahnschrift" w:hAnsi="Bahnschrift"/>
        <w:color w:val="auto"/>
        <w:sz w:val="40"/>
        <w:szCs w:val="40"/>
      </w:rPr>
      <w:t xml:space="preserve"> </w:t>
    </w:r>
    <w:r w:rsidRPr="750B79C2" w:rsidR="750B79C2">
      <w:rPr>
        <w:rFonts w:ascii="Bahnschrift" w:hAnsi="Bahnschrift"/>
        <w:color w:val="auto"/>
        <w:sz w:val="40"/>
        <w:szCs w:val="40"/>
      </w:rPr>
      <w:t xml:space="preserve">Core </w:t>
    </w:r>
    <w:r w:rsidRPr="750B79C2" w:rsidR="750B79C2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C7D5D"/>
    <w:rsid w:val="003C64F3"/>
    <w:rsid w:val="00410478"/>
    <w:rsid w:val="004863A6"/>
    <w:rsid w:val="004C5AB1"/>
    <w:rsid w:val="004D32DD"/>
    <w:rsid w:val="00514FCE"/>
    <w:rsid w:val="005D443A"/>
    <w:rsid w:val="005E76B9"/>
    <w:rsid w:val="006B40C0"/>
    <w:rsid w:val="007629C9"/>
    <w:rsid w:val="007924AB"/>
    <w:rsid w:val="00793A4A"/>
    <w:rsid w:val="007B2BE3"/>
    <w:rsid w:val="007E7E28"/>
    <w:rsid w:val="0085581F"/>
    <w:rsid w:val="008C527C"/>
    <w:rsid w:val="009512F8"/>
    <w:rsid w:val="009729D8"/>
    <w:rsid w:val="00A41D8B"/>
    <w:rsid w:val="00A66C07"/>
    <w:rsid w:val="00A9108B"/>
    <w:rsid w:val="00AB5B25"/>
    <w:rsid w:val="00B926F5"/>
    <w:rsid w:val="00F51DD1"/>
    <w:rsid w:val="00F87D95"/>
    <w:rsid w:val="00FA75BE"/>
    <w:rsid w:val="00FC3082"/>
    <w:rsid w:val="3077CAF9"/>
    <w:rsid w:val="422A4C1A"/>
    <w:rsid w:val="564DAB19"/>
    <w:rsid w:val="5666C287"/>
    <w:rsid w:val="750B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A4266-BA5B-4210-A733-4BADAAE8761B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20D7AF09-3C3D-44D0-9F20-D83BBF4FAF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FE0539-6022-4C89-82A5-577FE424B341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2025-07-09T18:42:58Z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